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28"/>
          <w:szCs w:val="28"/>
          <w:lang w:val="en-US" w:eastAsia="zh-CN"/>
        </w:rPr>
      </w:pPr>
      <w:r>
        <w:rPr>
          <w:rFonts w:hint="eastAsia" w:ascii="方正小标宋简体" w:hAnsi="方正小标宋简体" w:eastAsia="方正小标宋简体" w:cs="方正小标宋简体"/>
          <w:bCs/>
          <w:color w:val="FF0000"/>
          <w:spacing w:val="-45"/>
          <w:sz w:val="72"/>
          <w:szCs w:val="72"/>
        </w:rPr>
        <w:t>北京市建筑机械行业协会</w:t>
      </w:r>
      <w:r>
        <w:rPr>
          <w:rFonts w:hint="eastAsia" w:ascii="方正小标宋简体" w:hAnsi="方正小标宋简体" w:eastAsia="方正小标宋简体" w:cs="方正小标宋简体"/>
          <w:bCs/>
          <w:color w:val="FF0000"/>
          <w:spacing w:val="-45"/>
          <w:sz w:val="72"/>
          <w:szCs w:val="72"/>
          <w:lang w:val="en-US" w:eastAsia="zh-CN"/>
        </w:rPr>
        <w:t>文件</w:t>
      </w:r>
    </w:p>
    <w:p>
      <w:pPr>
        <w:jc w:val="center"/>
        <w:rPr>
          <w:rFonts w:hint="eastAsia" w:ascii="仿宋" w:hAnsi="仿宋" w:eastAsia="仿宋" w:cs="仿宋"/>
          <w:sz w:val="32"/>
          <w:szCs w:val="32"/>
        </w:rPr>
      </w:pPr>
    </w:p>
    <w:p>
      <w:pPr>
        <w:jc w:val="center"/>
        <w:rPr>
          <w:rFonts w:ascii="仿宋" w:hAnsi="仿宋" w:eastAsia="仿宋" w:cs="仿宋"/>
          <w:sz w:val="32"/>
          <w:szCs w:val="32"/>
        </w:rPr>
      </w:pPr>
      <w:r>
        <w:rPr>
          <w:rFonts w:hint="eastAsia" w:ascii="仿宋" w:hAnsi="仿宋" w:eastAsia="仿宋" w:cs="仿宋"/>
          <w:sz w:val="32"/>
          <w:szCs w:val="32"/>
        </w:rPr>
        <w:t>京建机协〔202</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5</w:t>
      </w:r>
      <w:r>
        <w:rPr>
          <w:rFonts w:hint="eastAsia" w:ascii="仿宋" w:hAnsi="仿宋" w:eastAsia="仿宋" w:cs="仿宋"/>
          <w:sz w:val="32"/>
          <w:szCs w:val="32"/>
        </w:rPr>
        <w:t>号</w:t>
      </w:r>
    </w:p>
    <w:p>
      <w:pPr>
        <w:spacing w:line="640" w:lineRule="exact"/>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mc:AlternateContent>
          <mc:Choice Requires="wps">
            <w:drawing>
              <wp:anchor distT="0" distB="0" distL="114300" distR="114300" simplePos="0" relativeHeight="251659264" behindDoc="0" locked="0" layoutInCell="1" allowOverlap="1">
                <wp:simplePos x="0" y="0"/>
                <wp:positionH relativeFrom="margin">
                  <wp:posOffset>-69850</wp:posOffset>
                </wp:positionH>
                <wp:positionV relativeFrom="paragraph">
                  <wp:posOffset>34290</wp:posOffset>
                </wp:positionV>
                <wp:extent cx="5518150" cy="6350"/>
                <wp:effectExtent l="0" t="0" r="0" b="0"/>
                <wp:wrapNone/>
                <wp:docPr id="1" name="直接连接符 2"/>
                <wp:cNvGraphicFramePr/>
                <a:graphic xmlns:a="http://schemas.openxmlformats.org/drawingml/2006/main">
                  <a:graphicData uri="http://schemas.microsoft.com/office/word/2010/wordprocessingShape">
                    <wps:wsp>
                      <wps:cNvCnPr>
                        <a:cxnSpLocks noChangeShapeType="1"/>
                      </wps:cNvCnPr>
                      <wps:spPr bwMode="auto">
                        <a:xfrm>
                          <a:off x="0" y="0"/>
                          <a:ext cx="5518150" cy="6350"/>
                        </a:xfrm>
                        <a:prstGeom prst="line">
                          <a:avLst/>
                        </a:prstGeom>
                        <a:noFill/>
                        <a:ln w="15875">
                          <a:solidFill>
                            <a:srgbClr val="FF0000"/>
                          </a:solidFill>
                          <a:miter lim="800000"/>
                        </a:ln>
                      </wps:spPr>
                      <wps:bodyPr/>
                    </wps:wsp>
                  </a:graphicData>
                </a:graphic>
              </wp:anchor>
            </w:drawing>
          </mc:Choice>
          <mc:Fallback>
            <w:pict>
              <v:line id="直接连接符 2" o:spid="_x0000_s1026" o:spt="20" style="position:absolute;left:0pt;margin-left:-5.5pt;margin-top:2.7pt;height:0.5pt;width:434.5pt;mso-position-horizontal-relative:margin;z-index:251659264;mso-width-relative:page;mso-height-relative:page;" filled="f" stroked="t" coordsize="21600,21600" o:gfxdata="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kA&#10;813UAAAABwEAAA8AAAAAAAAAAQAgAAAAIgAAAGRycy9kb3ducmV2LnhtbFBLAQIUABQAAAAIAIdO&#10;4kBHDUGe7gEAALsDAAAOAAAAAAAAAAEAIAAAACMBAABkcnMvZTJvRG9jLnhtbFBLBQYAAAAABgAG&#10;AFkBAACDBQAAAAA=&#10;">
                <v:fill on="f" focussize="0,0"/>
                <v:stroke weight="1.25pt" color="#FF0000" miterlimit="8" joinstyle="miter"/>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北京市建筑机械行业协会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关于转发2022年度北京市建筑施工</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特种作业操作资格证书延期复核工作</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bookmarkStart w:id="0" w:name="_GoBack"/>
      <w:bookmarkEnd w:id="0"/>
      <w:r>
        <w:rPr>
          <w:rFonts w:hint="eastAsia" w:ascii="方正小标宋简体" w:hAnsi="方正小标宋简体" w:eastAsia="方正小标宋简体" w:cs="方正小标宋简体"/>
          <w:sz w:val="44"/>
          <w:szCs w:val="44"/>
          <w:lang w:val="en-US" w:eastAsia="zh-CN"/>
        </w:rPr>
        <w:t>有关文件的通知</w:t>
      </w:r>
    </w:p>
    <w:p>
      <w:pPr>
        <w:rPr>
          <w:rFonts w:hint="eastAsia"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各有关单位：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textAlignment w:val="auto"/>
        <w:rPr>
          <w:rFonts w:hint="default" w:ascii="仿宋" w:hAnsi="仿宋" w:eastAsia="仿宋" w:cs="仿宋"/>
          <w:sz w:val="32"/>
          <w:szCs w:val="32"/>
          <w:lang w:val="en-US" w:eastAsia="zh-CN"/>
        </w:rPr>
      </w:pPr>
      <w:r>
        <w:rPr>
          <w:rFonts w:hint="eastAsia" w:ascii="仿宋" w:hAnsi="仿宋" w:eastAsia="仿宋" w:cs="仿宋"/>
          <w:b w:val="0"/>
          <w:bCs w:val="0"/>
          <w:sz w:val="32"/>
          <w:szCs w:val="32"/>
          <w:lang w:val="en-US" w:eastAsia="zh-CN"/>
        </w:rPr>
        <w:t>为做好</w:t>
      </w:r>
      <w:r>
        <w:rPr>
          <w:rFonts w:hint="eastAsia" w:ascii="仿宋" w:hAnsi="仿宋" w:eastAsia="仿宋" w:cs="仿宋"/>
          <w:b w:val="0"/>
          <w:bCs w:val="0"/>
          <w:sz w:val="32"/>
          <w:szCs w:val="32"/>
        </w:rPr>
        <w:t>2022</w:t>
      </w:r>
      <w:r>
        <w:rPr>
          <w:rFonts w:hint="eastAsia" w:ascii="仿宋" w:hAnsi="仿宋" w:eastAsia="仿宋" w:cs="仿宋"/>
          <w:sz w:val="32"/>
          <w:szCs w:val="32"/>
        </w:rPr>
        <w:t>年度北京市建筑施工特种作业操作资格证书延期复核有关工作</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现将《北京市住房和城乡建设委员会关于开展2022年度北京市建筑施工特种作业操作资格证书延期复核工作的通知》（京建发〔2022〕92号）和《北京市建设教育协会关于开展2022年北京市建筑施工特种作业人员网络继续教育工作的通知》（</w:t>
      </w:r>
      <w:r>
        <w:rPr>
          <w:rFonts w:hint="eastAsia" w:ascii="仿宋" w:hAnsi="仿宋" w:eastAsia="仿宋" w:cs="仿宋"/>
          <w:sz w:val="32"/>
          <w:szCs w:val="32"/>
        </w:rPr>
        <w:t>京建</w:t>
      </w:r>
      <w:r>
        <w:rPr>
          <w:rFonts w:hint="eastAsia" w:ascii="仿宋" w:hAnsi="仿宋" w:eastAsia="仿宋" w:cs="仿宋"/>
          <w:sz w:val="32"/>
          <w:szCs w:val="32"/>
          <w:lang w:val="en-US" w:eastAsia="zh-CN"/>
        </w:rPr>
        <w:t>教</w:t>
      </w:r>
      <w:r>
        <w:rPr>
          <w:rFonts w:hint="eastAsia" w:ascii="仿宋" w:hAnsi="仿宋" w:eastAsia="仿宋" w:cs="仿宋"/>
          <w:sz w:val="32"/>
          <w:szCs w:val="32"/>
        </w:rPr>
        <w:t>协〔202</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6</w:t>
      </w:r>
      <w:r>
        <w:rPr>
          <w:rFonts w:hint="eastAsia" w:ascii="仿宋" w:hAnsi="仿宋" w:eastAsia="仿宋" w:cs="仿宋"/>
          <w:sz w:val="32"/>
          <w:szCs w:val="32"/>
        </w:rPr>
        <w:t>号</w:t>
      </w:r>
      <w:r>
        <w:rPr>
          <w:rFonts w:hint="eastAsia" w:ascii="仿宋" w:hAnsi="仿宋" w:eastAsia="仿宋" w:cs="仿宋"/>
          <w:sz w:val="32"/>
          <w:szCs w:val="32"/>
          <w:lang w:val="en-US" w:eastAsia="zh-CN"/>
        </w:rPr>
        <w:t>）转发给你们，请认真贯彻执行。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依据《北京市住房和城乡建设委员会关于开展2022年度北京市建筑施工特种作业操作资格证书延期复核工作的通知》第五条，</w:t>
      </w:r>
      <w:r>
        <w:rPr>
          <w:rFonts w:hint="default" w:ascii="仿宋" w:hAnsi="仿宋" w:eastAsia="仿宋" w:cs="仿宋"/>
          <w:b/>
          <w:bCs/>
          <w:sz w:val="32"/>
          <w:szCs w:val="32"/>
          <w:lang w:val="en-US" w:eastAsia="zh-CN"/>
        </w:rPr>
        <w:t>未按规定参加年度安全教育培训或继续教育的</w:t>
      </w:r>
      <w:r>
        <w:rPr>
          <w:rFonts w:hint="eastAsia" w:ascii="仿宋" w:hAnsi="仿宋" w:eastAsia="仿宋" w:cs="仿宋"/>
          <w:b/>
          <w:bCs/>
          <w:sz w:val="32"/>
          <w:szCs w:val="32"/>
          <w:lang w:val="en-US" w:eastAsia="zh-CN"/>
        </w:rPr>
        <w:t>，</w:t>
      </w:r>
      <w:r>
        <w:rPr>
          <w:rFonts w:hint="default" w:ascii="仿宋" w:hAnsi="仿宋" w:eastAsia="仿宋" w:cs="仿宋"/>
          <w:b/>
          <w:bCs/>
          <w:sz w:val="32"/>
          <w:szCs w:val="32"/>
          <w:lang w:val="en-US" w:eastAsia="zh-CN"/>
        </w:rPr>
        <w:t>不予延期复核</w:t>
      </w:r>
      <w:r>
        <w:rPr>
          <w:rFonts w:hint="eastAsia" w:ascii="仿宋" w:hAnsi="仿宋" w:eastAsia="仿宋" w:cs="仿宋"/>
          <w:b/>
          <w:bCs/>
          <w:sz w:val="32"/>
          <w:szCs w:val="32"/>
          <w:lang w:val="en-US" w:eastAsia="zh-CN"/>
        </w:rPr>
        <w:t>。</w:t>
      </w:r>
      <w:r>
        <w:rPr>
          <w:rFonts w:hint="eastAsia" w:ascii="仿宋" w:hAnsi="仿宋" w:eastAsia="仿宋" w:cs="仿宋"/>
          <w:sz w:val="32"/>
          <w:szCs w:val="32"/>
          <w:lang w:val="en-US" w:eastAsia="zh-CN"/>
        </w:rPr>
        <w:t>请各单位提高认识，高度重视建筑施工特种作业人员安全教育培训或继续教育问题，</w:t>
      </w:r>
      <w:r>
        <w:rPr>
          <w:rFonts w:hint="eastAsia" w:ascii="仿宋" w:hAnsi="仿宋" w:eastAsia="仿宋" w:cs="仿宋"/>
          <w:b/>
          <w:bCs/>
          <w:sz w:val="32"/>
          <w:szCs w:val="32"/>
          <w:lang w:val="en-US" w:eastAsia="zh-CN"/>
        </w:rPr>
        <w:t>确保符合每年不少于24小时的规定，为建筑工地生产安全事故防范提供最基础保障。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为保证建筑施工特种作业人员安全教育培训或继续教育质量，确保教育培训不走过场，能够起到实际效果，请各有关单位按照《北京市建设教育协会关于开展2022年北京市建筑施工特种作业人员网络继续教育工作的通知》（</w:t>
      </w:r>
      <w:r>
        <w:rPr>
          <w:rFonts w:hint="eastAsia" w:ascii="仿宋" w:hAnsi="仿宋" w:eastAsia="仿宋" w:cs="仿宋"/>
          <w:sz w:val="32"/>
          <w:szCs w:val="32"/>
        </w:rPr>
        <w:t>京建</w:t>
      </w:r>
      <w:r>
        <w:rPr>
          <w:rFonts w:hint="eastAsia" w:ascii="仿宋" w:hAnsi="仿宋" w:eastAsia="仿宋" w:cs="仿宋"/>
          <w:sz w:val="32"/>
          <w:szCs w:val="32"/>
          <w:lang w:val="en-US" w:eastAsia="zh-CN"/>
        </w:rPr>
        <w:t>教</w:t>
      </w:r>
      <w:r>
        <w:rPr>
          <w:rFonts w:hint="eastAsia" w:ascii="仿宋" w:hAnsi="仿宋" w:eastAsia="仿宋" w:cs="仿宋"/>
          <w:sz w:val="32"/>
          <w:szCs w:val="32"/>
        </w:rPr>
        <w:t>协〔202</w:t>
      </w:r>
      <w:r>
        <w:rPr>
          <w:rFonts w:hint="eastAsia" w:ascii="仿宋" w:hAnsi="仿宋" w:eastAsia="仿宋" w:cs="仿宋"/>
          <w:sz w:val="32"/>
          <w:szCs w:val="32"/>
          <w:lang w:val="en-US" w:eastAsia="zh-CN"/>
        </w:rPr>
        <w:t>2</w:t>
      </w:r>
      <w:r>
        <w:rPr>
          <w:rFonts w:hint="eastAsia" w:ascii="仿宋" w:hAnsi="仿宋" w:eastAsia="仿宋" w:cs="仿宋"/>
          <w:sz w:val="32"/>
          <w:szCs w:val="32"/>
        </w:rPr>
        <w:t>〕</w:t>
      </w:r>
      <w:r>
        <w:rPr>
          <w:rFonts w:hint="eastAsia" w:ascii="仿宋" w:hAnsi="仿宋" w:eastAsia="仿宋" w:cs="仿宋"/>
          <w:sz w:val="32"/>
          <w:szCs w:val="32"/>
          <w:lang w:val="en-US" w:eastAsia="zh-CN"/>
        </w:rPr>
        <w:t>6</w:t>
      </w:r>
      <w:r>
        <w:rPr>
          <w:rFonts w:hint="eastAsia" w:ascii="仿宋" w:hAnsi="仿宋" w:eastAsia="仿宋" w:cs="仿宋"/>
          <w:sz w:val="32"/>
          <w:szCs w:val="32"/>
        </w:rPr>
        <w:t>号</w:t>
      </w:r>
      <w:r>
        <w:rPr>
          <w:rFonts w:hint="eastAsia" w:ascii="仿宋" w:hAnsi="仿宋" w:eastAsia="仿宋" w:cs="仿宋"/>
          <w:sz w:val="32"/>
          <w:szCs w:val="32"/>
          <w:lang w:val="en-US" w:eastAsia="zh-CN"/>
        </w:rPr>
        <w:t>），</w:t>
      </w:r>
      <w:r>
        <w:rPr>
          <w:rFonts w:hint="eastAsia" w:ascii="仿宋" w:hAnsi="仿宋" w:eastAsia="仿宋" w:cs="仿宋"/>
          <w:b/>
          <w:bCs/>
          <w:sz w:val="32"/>
          <w:szCs w:val="32"/>
          <w:lang w:val="en-US" w:eastAsia="zh-CN"/>
        </w:rPr>
        <w:t>组织本单位建筑施工特种作业人员参加网络继续教育课程（该课程为北京市建设教育协会和本协会共同邀请专家录制）</w:t>
      </w:r>
      <w:r>
        <w:rPr>
          <w:rFonts w:hint="eastAsia" w:ascii="仿宋" w:hAnsi="仿宋" w:eastAsia="仿宋" w:cs="仿宋"/>
          <w:sz w:val="32"/>
          <w:szCs w:val="32"/>
          <w:lang w:val="en-US" w:eastAsia="zh-CN"/>
        </w:rPr>
        <w:t>，认真学习掌握专业技能和安全生产知识。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2"/>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918" w:leftChars="304" w:hanging="1280" w:hangingChars="4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附件：1.北京市住房和城乡建设委员会关于开展2022年度北京市建筑施工特种作业操作资格证书延期复核工作的通知</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1916" w:leftChars="760" w:hanging="320" w:hangingChars="1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2.北京市建设教育协会关于开展2022年北京市建筑施工特种作业人员网络继续教育工作的通知</w:t>
      </w:r>
    </w:p>
    <w:p>
      <w:pPr>
        <w:keepNext w:val="0"/>
        <w:keepLines w:val="0"/>
        <w:pageBreakBefore w:val="0"/>
        <w:widowControl w:val="0"/>
        <w:numPr>
          <w:numId w:val="0"/>
        </w:numPr>
        <w:kinsoku/>
        <w:wordWrap/>
        <w:overflowPunct/>
        <w:topLinePunct w:val="0"/>
        <w:autoSpaceDE/>
        <w:autoSpaceDN/>
        <w:bidi w:val="0"/>
        <w:adjustRightInd/>
        <w:snapToGrid/>
        <w:spacing w:line="560" w:lineRule="exact"/>
        <w:ind w:leftChars="66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176" w:firstLineChars="1305"/>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北京市建筑机械行业协会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4816" w:firstLineChars="1505"/>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2022年4月2日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附件1</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北京市住房和城乡建设委员会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关于开展2022年度北京市建筑施工特种作业操作资格证书延期复核工作的通知</w:t>
      </w:r>
    </w:p>
    <w:p>
      <w:pPr>
        <w:jc w:val="center"/>
        <w:rPr>
          <w:rFonts w:hint="eastAsia" w:ascii="仿宋" w:hAnsi="仿宋" w:eastAsia="仿宋" w:cs="仿宋"/>
          <w:sz w:val="32"/>
          <w:szCs w:val="32"/>
          <w:lang w:val="en-US" w:eastAsia="zh-CN"/>
        </w:rPr>
      </w:pPr>
    </w:p>
    <w:p>
      <w:pPr>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京建发〔2022〕92号</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各有关单位：</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根据《关于印发〈建筑施工特种作业人员管理规定〉的通知》（建质〔2008〕75号）和《关于印发北京市建筑施工特种作业人员考核管理办法的通知》（京建法〔2021〕3号）的有关规定，现将2022年度北京市建筑施工特种作业操作资格证书（以下简称“资格证书”）延期复核有关工作通知如下：</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一、组织管理</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北京市建筑业执业资格注册中心（以下简称“注册中心”）受市住房城乡建设委委托，负责资格证书延期复核工作。</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二、受理范围</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聘用单位为本市注册的施工企业、来京备案施工企业和在京备案的起重机械租赁企业的持证人员可申请延期复核。资格证书有效期至2022年6月30日的，应于2022年4月1日至6月30日申请延期复核；资格证书有效期至2022年12月31日的，应于2022年10月1日至12月31日申请延期复核，逾期未申请延期复核或延期复核不合格的，由考核发证机关注销资格证书。</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三、工作流程</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延期复核工作全过程网上办理，无需提交纸质材料。申请人登录市住房城乡建设委门户网站办事大厅系统，通过人员资格管理信息系统在线填写延期复核申请表并打印加盖用人单位公章，延期复核材料电子扫描件按要求全部在线上传，由聘用单位网上确认，注册中心对延期复核材料进行审核。资格证书延期复核合格后申请人可自行下载打印电子证书。</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四、所需材料</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（一）加盖用人单位公章的证书延期复核申请表；</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（二）二级乙等以上医院出具的近三个月内的体检合格报告；</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（三）个人健康承诺（见附件）。</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五、不予延期复核的几种情形</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（一）超过规定年龄要求的（男性满60周岁、女性满50周岁，资格证书系统自动注销）；</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（二）身体健康状况不再适应相应特种作业岗位的；</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（三）对生产安全事故负有责任的；</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（四）2年内违章操作记录达3次（含3次）以上的；</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（五）未按规定参加年度安全教育培训或继续教育的。</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六、其他事项</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（一）工作单位已发生变更的持证人员，应先申请证书变更，再申请延期复核。</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二）在开展资格证书延期复核工作中，我委不组织培训且不指定任何培训机构，由用人单位按规定自行组织特种作业人员参加年度安全教育培训或者继续教育，培训时间不少于24小时（用人单位须留存培训资料）。</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（三）注册中心不委托任何机构承担延期复核材料接收及审核工作。</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（四）证书延期复核工作不收费。</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r>
        <w:rPr>
          <w:rFonts w:hint="eastAsia" w:ascii="仿宋" w:hAnsi="仿宋" w:eastAsia="仿宋" w:cs="仿宋"/>
          <w:sz w:val="32"/>
          <w:szCs w:val="32"/>
        </w:rPr>
        <w:t>　　附件：个人健康承诺</w:t>
      </w:r>
    </w:p>
    <w:p>
      <w:pPr>
        <w:keepNext w:val="0"/>
        <w:keepLines w:val="0"/>
        <w:pageBreakBefore w:val="0"/>
        <w:kinsoku/>
        <w:wordWrap/>
        <w:overflowPunct/>
        <w:topLinePunct w:val="0"/>
        <w:bidi w:val="0"/>
        <w:snapToGrid/>
        <w:spacing w:line="560" w:lineRule="exact"/>
        <w:textAlignment w:val="auto"/>
        <w:rPr>
          <w:rFonts w:hint="eastAsia" w:ascii="仿宋" w:hAnsi="仿宋" w:eastAsia="仿宋" w:cs="仿宋"/>
          <w:sz w:val="32"/>
          <w:szCs w:val="32"/>
        </w:rPr>
      </w:pPr>
    </w:p>
    <w:p>
      <w:pPr>
        <w:keepNext w:val="0"/>
        <w:keepLines w:val="0"/>
        <w:pageBreakBefore w:val="0"/>
        <w:kinsoku/>
        <w:wordWrap/>
        <w:overflowPunct/>
        <w:topLinePunct w:val="0"/>
        <w:bidi w:val="0"/>
        <w:snapToGrid/>
        <w:spacing w:line="560" w:lineRule="exact"/>
        <w:ind w:left="5120" w:hanging="5120" w:hangingChars="1600"/>
        <w:textAlignment w:val="auto"/>
        <w:rPr>
          <w:rFonts w:hint="eastAsia" w:ascii="仿宋" w:hAnsi="仿宋" w:eastAsia="仿宋" w:cs="仿宋"/>
          <w:sz w:val="32"/>
          <w:szCs w:val="32"/>
        </w:rPr>
      </w:pPr>
      <w:r>
        <w:rPr>
          <w:rFonts w:hint="eastAsia" w:ascii="仿宋" w:hAnsi="仿宋" w:eastAsia="仿宋" w:cs="仿宋"/>
          <w:sz w:val="32"/>
          <w:szCs w:val="32"/>
        </w:rPr>
        <w:t>　　</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北京市住房和城乡建设委员会2022年3月22日</w:t>
      </w:r>
    </w:p>
    <w:p>
      <w:pPr>
        <w:keepNext w:val="0"/>
        <w:keepLines w:val="0"/>
        <w:pageBreakBefore w:val="0"/>
        <w:kinsoku/>
        <w:wordWrap/>
        <w:overflowPunct/>
        <w:topLinePunct w:val="0"/>
        <w:bidi w:val="0"/>
        <w:snapToGrid/>
        <w:spacing w:line="560" w:lineRule="exact"/>
        <w:ind w:firstLine="420"/>
        <w:textAlignment w:val="auto"/>
        <w:rPr>
          <w:rFonts w:hint="eastAsia"/>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hint="eastAsia" w:ascii="黑体" w:hAnsi="黑体" w:eastAsia="黑体" w:cs="楷体_GB2312"/>
          <w:sz w:val="32"/>
          <w:szCs w:val="32"/>
        </w:rPr>
      </w:pPr>
    </w:p>
    <w:p>
      <w:pPr>
        <w:keepNext w:val="0"/>
        <w:keepLines w:val="0"/>
        <w:pageBreakBefore w:val="0"/>
        <w:kinsoku/>
        <w:wordWrap/>
        <w:overflowPunct/>
        <w:topLinePunct w:val="0"/>
        <w:bidi w:val="0"/>
        <w:snapToGrid/>
        <w:spacing w:line="560" w:lineRule="exact"/>
        <w:textAlignment w:val="auto"/>
        <w:rPr>
          <w:rFonts w:ascii="黑体" w:hAnsi="黑体" w:eastAsia="黑体"/>
          <w:color w:val="0D0D0D"/>
          <w:sz w:val="44"/>
          <w:szCs w:val="44"/>
        </w:rPr>
      </w:pPr>
      <w:r>
        <w:rPr>
          <w:rFonts w:hint="eastAsia" w:ascii="黑体" w:hAnsi="黑体" w:eastAsia="黑体" w:cs="楷体_GB2312"/>
          <w:sz w:val="32"/>
          <w:szCs w:val="32"/>
        </w:rPr>
        <w:t>京建发〔2022〕92号附件</w:t>
      </w:r>
    </w:p>
    <w:p>
      <w:pPr>
        <w:keepNext w:val="0"/>
        <w:keepLines w:val="0"/>
        <w:pageBreakBefore w:val="0"/>
        <w:kinsoku/>
        <w:wordWrap/>
        <w:overflowPunct/>
        <w:topLinePunct w:val="0"/>
        <w:bidi w:val="0"/>
        <w:snapToGrid/>
        <w:spacing w:line="560" w:lineRule="exact"/>
        <w:jc w:val="center"/>
        <w:textAlignment w:val="auto"/>
        <w:rPr>
          <w:rFonts w:ascii="方正小标宋简体" w:eastAsia="方正小标宋简体"/>
          <w:color w:val="0D0D0D"/>
          <w:sz w:val="44"/>
          <w:szCs w:val="44"/>
        </w:rPr>
      </w:pPr>
    </w:p>
    <w:p>
      <w:pPr>
        <w:keepNext w:val="0"/>
        <w:keepLines w:val="0"/>
        <w:pageBreakBefore w:val="0"/>
        <w:widowControl/>
        <w:kinsoku/>
        <w:wordWrap/>
        <w:overflowPunct/>
        <w:topLinePunct w:val="0"/>
        <w:bidi w:val="0"/>
        <w:snapToGrid/>
        <w:spacing w:line="560" w:lineRule="exact"/>
        <w:jc w:val="center"/>
        <w:textAlignment w:val="auto"/>
        <w:rPr>
          <w:rFonts w:ascii="方正小标宋简体" w:hAnsi="方正小标宋简体" w:eastAsia="方正小标宋简体"/>
          <w:color w:val="0D0D0D"/>
          <w:spacing w:val="-6"/>
          <w:kern w:val="0"/>
          <w:sz w:val="44"/>
          <w:szCs w:val="44"/>
        </w:rPr>
      </w:pPr>
      <w:r>
        <w:rPr>
          <w:rFonts w:ascii="方正小标宋简体" w:hAnsi="方正小标宋简体" w:eastAsia="方正小标宋简体"/>
          <w:color w:val="0D0D0D"/>
          <w:spacing w:val="-6"/>
          <w:kern w:val="0"/>
          <w:sz w:val="44"/>
          <w:szCs w:val="44"/>
        </w:rPr>
        <w:t>个人健康承诺</w:t>
      </w:r>
    </w:p>
    <w:p>
      <w:pPr>
        <w:pStyle w:val="5"/>
        <w:keepNext w:val="0"/>
        <w:keepLines w:val="0"/>
        <w:pageBreakBefore w:val="0"/>
        <w:kinsoku/>
        <w:wordWrap/>
        <w:overflowPunct/>
        <w:topLinePunct w:val="0"/>
        <w:bidi w:val="0"/>
        <w:snapToGrid/>
        <w:spacing w:line="560" w:lineRule="exact"/>
        <w:ind w:firstLine="640" w:firstLineChars="200"/>
        <w:textAlignment w:val="auto"/>
        <w:rPr>
          <w:rFonts w:ascii="仿宋_GB2312" w:hAnsi="华文仿宋" w:eastAsia="仿宋_GB2312" w:cs="Times New Roman"/>
          <w:color w:val="0D0D0D"/>
          <w:sz w:val="32"/>
          <w:szCs w:val="32"/>
        </w:rPr>
      </w:pPr>
    </w:p>
    <w:p>
      <w:pPr>
        <w:pStyle w:val="5"/>
        <w:keepNext w:val="0"/>
        <w:keepLines w:val="0"/>
        <w:pageBreakBefore w:val="0"/>
        <w:kinsoku/>
        <w:wordWrap/>
        <w:overflowPunct/>
        <w:topLinePunct w:val="0"/>
        <w:bidi w:val="0"/>
        <w:snapToGrid/>
        <w:spacing w:line="560" w:lineRule="exact"/>
        <w:jc w:val="both"/>
        <w:textAlignment w:val="auto"/>
        <w:rPr>
          <w:rFonts w:ascii="仿宋_GB2312" w:hAnsi="华文仿宋" w:eastAsia="仿宋_GB2312" w:cs="Times New Roman"/>
          <w:color w:val="0D0D0D"/>
          <w:sz w:val="32"/>
          <w:szCs w:val="32"/>
        </w:rPr>
      </w:pPr>
      <w:r>
        <w:rPr>
          <w:rFonts w:hint="eastAsia" w:ascii="仿宋_GB2312" w:hAnsi="华文仿宋" w:eastAsia="仿宋_GB2312" w:cs="Times New Roman"/>
          <w:color w:val="0D0D0D"/>
          <w:sz w:val="32"/>
          <w:szCs w:val="32"/>
        </w:rPr>
        <w:t>北京市住房和城乡建设委员会</w:t>
      </w:r>
      <w:r>
        <w:rPr>
          <w:rFonts w:ascii="仿宋_GB2312" w:hAnsi="华文仿宋" w:eastAsia="仿宋_GB2312" w:cs="Times New Roman"/>
          <w:color w:val="0D0D0D"/>
          <w:sz w:val="32"/>
          <w:szCs w:val="32"/>
        </w:rPr>
        <w:t>：</w:t>
      </w:r>
    </w:p>
    <w:p>
      <w:pPr>
        <w:pStyle w:val="5"/>
        <w:keepNext w:val="0"/>
        <w:keepLines w:val="0"/>
        <w:pageBreakBefore w:val="0"/>
        <w:kinsoku/>
        <w:wordWrap/>
        <w:overflowPunct/>
        <w:topLinePunct w:val="0"/>
        <w:bidi w:val="0"/>
        <w:snapToGrid/>
        <w:spacing w:line="560" w:lineRule="exact"/>
        <w:ind w:firstLine="640" w:firstLineChars="200"/>
        <w:jc w:val="both"/>
        <w:textAlignment w:val="auto"/>
        <w:rPr>
          <w:rFonts w:ascii="仿宋_GB2312" w:hAnsi="华文仿宋" w:eastAsia="仿宋_GB2312" w:cs="Times New Roman"/>
          <w:color w:val="0D0D0D"/>
          <w:sz w:val="32"/>
          <w:szCs w:val="32"/>
        </w:rPr>
      </w:pPr>
      <w:r>
        <w:rPr>
          <w:rFonts w:ascii="仿宋_GB2312" w:hAnsi="华文仿宋" w:eastAsia="仿宋_GB2312" w:cs="Times New Roman"/>
          <w:color w:val="0D0D0D"/>
          <w:sz w:val="32"/>
          <w:szCs w:val="32"/>
        </w:rPr>
        <w:t>本人姓名</w:t>
      </w:r>
      <w:r>
        <w:rPr>
          <w:rFonts w:hint="eastAsia" w:ascii="仿宋_GB2312" w:hAnsi="华文仿宋" w:eastAsia="仿宋_GB2312" w:cs="Times New Roman"/>
          <w:color w:val="0D0D0D"/>
          <w:sz w:val="32"/>
          <w:szCs w:val="32"/>
          <w:u w:val="single"/>
        </w:rPr>
        <w:t xml:space="preserve">          </w:t>
      </w:r>
      <w:r>
        <w:rPr>
          <w:rFonts w:ascii="仿宋_GB2312" w:hAnsi="华文仿宋" w:eastAsia="仿宋_GB2312" w:cs="Times New Roman"/>
          <w:color w:val="0D0D0D"/>
          <w:sz w:val="32"/>
          <w:szCs w:val="32"/>
        </w:rPr>
        <w:t>，身份证号码</w:t>
      </w:r>
      <w:r>
        <w:rPr>
          <w:rFonts w:hint="eastAsia" w:ascii="仿宋_GB2312" w:hAnsi="华文仿宋" w:eastAsia="仿宋_GB2312" w:cs="Times New Roman"/>
          <w:color w:val="0D0D0D"/>
          <w:sz w:val="32"/>
          <w:szCs w:val="32"/>
          <w:u w:val="single"/>
        </w:rPr>
        <w:t xml:space="preserve">                  </w:t>
      </w:r>
      <w:r>
        <w:rPr>
          <w:rFonts w:ascii="仿宋_GB2312" w:hAnsi="华文仿宋" w:eastAsia="仿宋_GB2312" w:cs="Times New Roman"/>
          <w:color w:val="0D0D0D"/>
          <w:sz w:val="32"/>
          <w:szCs w:val="32"/>
        </w:rPr>
        <w:t>，现申请</w:t>
      </w:r>
      <w:r>
        <w:rPr>
          <w:rFonts w:hint="eastAsia" w:ascii="仿宋_GB2312" w:hAnsi="华文仿宋" w:eastAsia="仿宋_GB2312" w:cs="Times New Roman"/>
          <w:color w:val="0D0D0D"/>
          <w:sz w:val="32"/>
          <w:szCs w:val="32"/>
          <w:u w:val="single"/>
        </w:rPr>
        <w:t xml:space="preserve">                 </w:t>
      </w:r>
      <w:r>
        <w:rPr>
          <w:rFonts w:ascii="仿宋_GB2312" w:hAnsi="华文仿宋" w:eastAsia="仿宋_GB2312" w:cs="Times New Roman"/>
          <w:color w:val="0D0D0D"/>
          <w:sz w:val="32"/>
          <w:szCs w:val="32"/>
        </w:rPr>
        <w:t>（作业类别）</w:t>
      </w:r>
      <w:r>
        <w:rPr>
          <w:rFonts w:hint="eastAsia" w:ascii="仿宋_GB2312" w:hAnsi="华文仿宋" w:eastAsia="仿宋_GB2312" w:cs="Times New Roman"/>
          <w:color w:val="0D0D0D"/>
          <w:sz w:val="32"/>
          <w:szCs w:val="32"/>
        </w:rPr>
        <w:t>建筑</w:t>
      </w:r>
      <w:r>
        <w:rPr>
          <w:rFonts w:hint="eastAsia" w:ascii="仿宋_GB2312" w:hAnsi="华文仿宋" w:eastAsia="仿宋_GB2312" w:cs="Times New Roman"/>
          <w:color w:val="0D0D0D"/>
          <w:sz w:val="32"/>
          <w:szCs w:val="32"/>
          <w:lang w:eastAsia="zh-CN"/>
        </w:rPr>
        <w:t>施工</w:t>
      </w:r>
      <w:r>
        <w:rPr>
          <w:rFonts w:ascii="仿宋_GB2312" w:hAnsi="华文仿宋" w:eastAsia="仿宋_GB2312" w:cs="Times New Roman"/>
          <w:color w:val="0D0D0D"/>
          <w:sz w:val="32"/>
          <w:szCs w:val="32"/>
        </w:rPr>
        <w:t>特种作业操作资格证</w:t>
      </w:r>
      <w:r>
        <w:rPr>
          <w:rFonts w:hint="eastAsia" w:ascii="仿宋_GB2312" w:hAnsi="华文仿宋" w:eastAsia="仿宋_GB2312" w:cs="Times New Roman"/>
          <w:color w:val="0D0D0D"/>
          <w:sz w:val="32"/>
          <w:szCs w:val="32"/>
          <w:lang w:eastAsia="zh-CN"/>
        </w:rPr>
        <w:t>延期复核</w:t>
      </w:r>
      <w:r>
        <w:rPr>
          <w:rFonts w:ascii="仿宋_GB2312" w:hAnsi="华文仿宋" w:eastAsia="仿宋_GB2312" w:cs="Times New Roman"/>
          <w:color w:val="0D0D0D"/>
          <w:sz w:val="32"/>
          <w:szCs w:val="32"/>
        </w:rPr>
        <w:t>。本人身体健康，</w:t>
      </w:r>
      <w:r>
        <w:rPr>
          <w:rFonts w:hint="eastAsia" w:ascii="仿宋_GB2312" w:hAnsi="华文仿宋" w:eastAsia="仿宋_GB2312" w:cs="Times New Roman"/>
          <w:color w:val="0D0D0D"/>
          <w:sz w:val="32"/>
          <w:szCs w:val="32"/>
        </w:rPr>
        <w:t>肢体</w:t>
      </w:r>
      <w:r>
        <w:rPr>
          <w:rFonts w:ascii="仿宋_GB2312" w:hAnsi="华文仿宋" w:eastAsia="仿宋_GB2312" w:cs="Times New Roman"/>
          <w:color w:val="0D0D0D"/>
          <w:sz w:val="32"/>
          <w:szCs w:val="32"/>
        </w:rPr>
        <w:t>健全，无妨碍从事相应特种作业的器质性心脏病、癫痫病、美尼尔氏症、眩晕症、癔病、震颤麻痹症、精神病、痴呆症以及其他疾病和生理缺陷。</w:t>
      </w:r>
    </w:p>
    <w:p>
      <w:pPr>
        <w:pStyle w:val="5"/>
        <w:keepNext w:val="0"/>
        <w:keepLines w:val="0"/>
        <w:pageBreakBefore w:val="0"/>
        <w:kinsoku/>
        <w:wordWrap/>
        <w:overflowPunct/>
        <w:topLinePunct w:val="0"/>
        <w:bidi w:val="0"/>
        <w:snapToGrid/>
        <w:spacing w:line="560" w:lineRule="exact"/>
        <w:ind w:firstLine="640" w:firstLineChars="200"/>
        <w:jc w:val="both"/>
        <w:textAlignment w:val="auto"/>
        <w:rPr>
          <w:rFonts w:ascii="仿宋_GB2312" w:hAnsi="华文仿宋" w:eastAsia="仿宋_GB2312" w:cs="Times New Roman"/>
          <w:color w:val="0D0D0D"/>
          <w:sz w:val="32"/>
          <w:szCs w:val="32"/>
        </w:rPr>
      </w:pPr>
      <w:r>
        <w:rPr>
          <w:rFonts w:ascii="仿宋_GB2312" w:hAnsi="华文仿宋" w:eastAsia="仿宋_GB2312" w:cs="Times New Roman"/>
          <w:color w:val="0D0D0D"/>
          <w:sz w:val="32"/>
          <w:szCs w:val="32"/>
        </w:rPr>
        <w:t>本人对以上信息的真实性负责，如有隐瞒，相关责任全部由本人承担。</w:t>
      </w:r>
    </w:p>
    <w:p>
      <w:pPr>
        <w:keepNext w:val="0"/>
        <w:keepLines w:val="0"/>
        <w:pageBreakBefore w:val="0"/>
        <w:kinsoku/>
        <w:wordWrap/>
        <w:overflowPunct/>
        <w:topLinePunct w:val="0"/>
        <w:bidi w:val="0"/>
        <w:snapToGrid/>
        <w:spacing w:line="560" w:lineRule="exact"/>
        <w:ind w:firstLine="640" w:firstLineChars="200"/>
        <w:textAlignment w:val="auto"/>
        <w:rPr>
          <w:rFonts w:ascii="仿宋_GB2312" w:hAnsi="华文仿宋" w:eastAsia="仿宋_GB2312"/>
          <w:color w:val="0D0D0D"/>
          <w:kern w:val="0"/>
          <w:sz w:val="32"/>
          <w:szCs w:val="32"/>
        </w:rPr>
      </w:pPr>
      <w:r>
        <w:rPr>
          <w:rFonts w:hint="eastAsia" w:ascii="仿宋_GB2312" w:hAnsi="华文仿宋" w:eastAsia="仿宋_GB2312"/>
          <w:color w:val="0D0D0D"/>
          <w:kern w:val="0"/>
          <w:sz w:val="32"/>
          <w:szCs w:val="32"/>
        </w:rPr>
        <w:t>特此</w:t>
      </w:r>
      <w:r>
        <w:rPr>
          <w:rFonts w:ascii="仿宋_GB2312" w:hAnsi="华文仿宋" w:eastAsia="仿宋_GB2312"/>
          <w:color w:val="0D0D0D"/>
          <w:kern w:val="0"/>
          <w:sz w:val="32"/>
          <w:szCs w:val="32"/>
        </w:rPr>
        <w:t>承诺。</w:t>
      </w:r>
    </w:p>
    <w:p>
      <w:pPr>
        <w:keepNext w:val="0"/>
        <w:keepLines w:val="0"/>
        <w:pageBreakBefore w:val="0"/>
        <w:kinsoku/>
        <w:wordWrap/>
        <w:overflowPunct/>
        <w:topLinePunct w:val="0"/>
        <w:bidi w:val="0"/>
        <w:snapToGrid/>
        <w:spacing w:line="560" w:lineRule="exact"/>
        <w:textAlignment w:val="auto"/>
        <w:rPr>
          <w:rFonts w:ascii="仿宋_GB2312" w:hAnsi="华文仿宋" w:eastAsia="仿宋_GB2312"/>
          <w:color w:val="0D0D0D"/>
          <w:kern w:val="0"/>
          <w:sz w:val="32"/>
          <w:szCs w:val="32"/>
        </w:rPr>
      </w:pPr>
    </w:p>
    <w:p>
      <w:pPr>
        <w:keepNext w:val="0"/>
        <w:keepLines w:val="0"/>
        <w:pageBreakBefore w:val="0"/>
        <w:kinsoku/>
        <w:wordWrap/>
        <w:overflowPunct/>
        <w:topLinePunct w:val="0"/>
        <w:bidi w:val="0"/>
        <w:snapToGrid/>
        <w:spacing w:line="560" w:lineRule="exact"/>
        <w:textAlignment w:val="auto"/>
        <w:rPr>
          <w:rFonts w:ascii="仿宋_GB2312" w:hAnsi="华文仿宋" w:eastAsia="仿宋_GB2312"/>
          <w:color w:val="0D0D0D"/>
          <w:kern w:val="0"/>
          <w:sz w:val="32"/>
          <w:szCs w:val="32"/>
        </w:rPr>
      </w:pPr>
    </w:p>
    <w:p>
      <w:pPr>
        <w:keepNext w:val="0"/>
        <w:keepLines w:val="0"/>
        <w:pageBreakBefore w:val="0"/>
        <w:kinsoku/>
        <w:wordWrap/>
        <w:overflowPunct/>
        <w:topLinePunct w:val="0"/>
        <w:bidi w:val="0"/>
        <w:snapToGrid/>
        <w:spacing w:line="560" w:lineRule="exact"/>
        <w:ind w:right="800"/>
        <w:jc w:val="right"/>
        <w:textAlignment w:val="auto"/>
        <w:rPr>
          <w:rFonts w:ascii="仿宋_GB2312" w:hAnsi="华文仿宋" w:eastAsia="仿宋_GB2312"/>
          <w:color w:val="0D0D0D"/>
          <w:kern w:val="0"/>
          <w:sz w:val="32"/>
          <w:szCs w:val="32"/>
        </w:rPr>
      </w:pPr>
    </w:p>
    <w:p>
      <w:pPr>
        <w:keepNext w:val="0"/>
        <w:keepLines w:val="0"/>
        <w:pageBreakBefore w:val="0"/>
        <w:kinsoku/>
        <w:wordWrap/>
        <w:overflowPunct/>
        <w:topLinePunct w:val="0"/>
        <w:bidi w:val="0"/>
        <w:snapToGrid/>
        <w:spacing w:line="560" w:lineRule="exact"/>
        <w:ind w:right="800"/>
        <w:jc w:val="right"/>
        <w:textAlignment w:val="auto"/>
        <w:rPr>
          <w:rFonts w:ascii="仿宋_GB2312" w:hAnsi="华文仿宋" w:eastAsia="仿宋_GB2312"/>
          <w:color w:val="0D0D0D"/>
          <w:kern w:val="0"/>
          <w:sz w:val="32"/>
          <w:szCs w:val="32"/>
        </w:rPr>
      </w:pPr>
      <w:r>
        <w:rPr>
          <w:rFonts w:ascii="仿宋_GB2312" w:hAnsi="华文仿宋" w:eastAsia="仿宋_GB2312"/>
          <w:color w:val="0D0D0D"/>
          <w:kern w:val="0"/>
          <w:sz w:val="32"/>
          <w:szCs w:val="32"/>
        </w:rPr>
        <w:t>承诺人（签字）：</w:t>
      </w:r>
      <w:r>
        <w:rPr>
          <w:rFonts w:hint="eastAsia" w:ascii="仿宋_GB2312" w:hAnsi="华文仿宋" w:eastAsia="仿宋_GB2312"/>
          <w:color w:val="0D0D0D"/>
          <w:kern w:val="0"/>
          <w:sz w:val="32"/>
          <w:szCs w:val="32"/>
        </w:rPr>
        <w:t xml:space="preserve"> </w:t>
      </w:r>
    </w:p>
    <w:p>
      <w:pPr>
        <w:keepNext w:val="0"/>
        <w:keepLines w:val="0"/>
        <w:pageBreakBefore w:val="0"/>
        <w:kinsoku/>
        <w:wordWrap/>
        <w:overflowPunct/>
        <w:topLinePunct w:val="0"/>
        <w:bidi w:val="0"/>
        <w:snapToGrid/>
        <w:spacing w:line="560" w:lineRule="exact"/>
        <w:ind w:right="960"/>
        <w:jc w:val="center"/>
        <w:textAlignment w:val="auto"/>
        <w:rPr>
          <w:rFonts w:ascii="仿宋_GB2312" w:hAnsi="华文仿宋" w:eastAsia="仿宋_GB2312"/>
          <w:color w:val="0D0D0D"/>
          <w:kern w:val="0"/>
          <w:sz w:val="32"/>
          <w:szCs w:val="32"/>
        </w:rPr>
      </w:pPr>
      <w:r>
        <w:rPr>
          <w:rFonts w:hint="eastAsia" w:ascii="仿宋_GB2312" w:hAnsi="华文仿宋" w:eastAsia="仿宋_GB2312"/>
          <w:color w:val="0D0D0D"/>
          <w:kern w:val="0"/>
          <w:sz w:val="32"/>
          <w:szCs w:val="32"/>
        </w:rPr>
        <w:t xml:space="preserve">                               </w:t>
      </w:r>
      <w:r>
        <w:rPr>
          <w:rFonts w:ascii="仿宋_GB2312" w:hAnsi="华文仿宋" w:eastAsia="仿宋_GB2312"/>
          <w:color w:val="0D0D0D"/>
          <w:kern w:val="0"/>
          <w:sz w:val="32"/>
          <w:szCs w:val="32"/>
        </w:rPr>
        <w:t>年</w:t>
      </w:r>
      <w:r>
        <w:rPr>
          <w:rFonts w:hint="eastAsia" w:ascii="仿宋_GB2312" w:hAnsi="华文仿宋" w:eastAsia="仿宋_GB2312"/>
          <w:color w:val="0D0D0D"/>
          <w:kern w:val="0"/>
          <w:sz w:val="32"/>
          <w:szCs w:val="32"/>
        </w:rPr>
        <w:t xml:space="preserve">   </w:t>
      </w:r>
      <w:r>
        <w:rPr>
          <w:rFonts w:ascii="仿宋_GB2312" w:hAnsi="华文仿宋" w:eastAsia="仿宋_GB2312"/>
          <w:color w:val="0D0D0D"/>
          <w:kern w:val="0"/>
          <w:sz w:val="32"/>
          <w:szCs w:val="32"/>
        </w:rPr>
        <w:t>月</w:t>
      </w:r>
      <w:r>
        <w:rPr>
          <w:rFonts w:hint="eastAsia" w:ascii="仿宋_GB2312" w:hAnsi="华文仿宋" w:eastAsia="仿宋_GB2312"/>
          <w:color w:val="0D0D0D"/>
          <w:kern w:val="0"/>
          <w:sz w:val="32"/>
          <w:szCs w:val="32"/>
        </w:rPr>
        <w:t xml:space="preserve">   </w:t>
      </w:r>
      <w:r>
        <w:rPr>
          <w:rFonts w:ascii="仿宋_GB2312" w:hAnsi="华文仿宋" w:eastAsia="仿宋_GB2312"/>
          <w:color w:val="0D0D0D"/>
          <w:kern w:val="0"/>
          <w:sz w:val="32"/>
          <w:szCs w:val="32"/>
        </w:rPr>
        <w:t>日</w:t>
      </w:r>
    </w:p>
    <w:p>
      <w:pPr>
        <w:keepNext w:val="0"/>
        <w:keepLines w:val="0"/>
        <w:pageBreakBefore w:val="0"/>
        <w:kinsoku/>
        <w:wordWrap/>
        <w:overflowPunct/>
        <w:topLinePunct w:val="0"/>
        <w:bidi w:val="0"/>
        <w:snapToGrid/>
        <w:spacing w:line="560" w:lineRule="exact"/>
        <w:textAlignment w:val="auto"/>
        <w:rPr>
          <w:rFonts w:hint="eastAsia" w:ascii="仿宋_GB2312" w:eastAsia="仿宋_GB2312"/>
          <w:spacing w:val="-20"/>
          <w:kern w:val="32"/>
          <w:sz w:val="32"/>
          <w:szCs w:val="32"/>
        </w:rPr>
      </w:pPr>
    </w:p>
    <w:p>
      <w:pPr>
        <w:keepNext w:val="0"/>
        <w:keepLines w:val="0"/>
        <w:pageBreakBefore w:val="0"/>
        <w:kinsoku/>
        <w:wordWrap/>
        <w:overflowPunct/>
        <w:topLinePunct w:val="0"/>
        <w:bidi w:val="0"/>
        <w:snapToGrid/>
        <w:spacing w:line="560" w:lineRule="exact"/>
        <w:ind w:firstLine="420"/>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val="0"/>
        <w:kinsoku/>
        <w:wordWrap/>
        <w:overflowPunct/>
        <w:topLinePunct w:val="0"/>
        <w:autoSpaceDE/>
        <w:autoSpaceDN/>
        <w:bidi w:val="0"/>
        <w:adjustRightInd/>
        <w:snapToGrid/>
        <w:spacing w:line="640" w:lineRule="exact"/>
        <w:jc w:val="both"/>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北京市建设教育协会</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关于开展2022年北京市建筑施工特种作业人员网络继续教育工作的通知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京建教协〔2022〕06号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各有关单位：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根据《关于开展2022年度北京市建筑施工特种作业操作资格证书延期复核工作的通知》（京建发〔2022〕92号）文件精神：“未按规定参加年度安全教育培训或继续教育的不予延期复核”、“由用人单位按规定自行组织特种作业人员参加年度安全教育培训或者继续教育，培训时间不少于24小时（用人单位须留存培训资料）”，为坚决贯彻疫情防控工作部署，提升培训质量和安全意识，北京市建设教育协会决定开展2022年北京市建筑施工特种作业人员网络继续教育工作，现将有关事宜通知如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val="en-US" w:eastAsia="zh-CN"/>
        </w:rPr>
      </w:pPr>
      <w:r>
        <w:rPr>
          <w:rFonts w:hint="default" w:ascii="仿宋" w:hAnsi="仿宋" w:eastAsia="仿宋" w:cs="仿宋"/>
          <w:sz w:val="32"/>
          <w:szCs w:val="32"/>
          <w:lang w:val="en-US" w:eastAsia="zh-CN"/>
        </w:rPr>
        <w:t>　</w:t>
      </w:r>
      <w:r>
        <w:rPr>
          <w:rFonts w:hint="eastAsia" w:ascii="仿宋" w:hAnsi="仿宋" w:eastAsia="仿宋" w:cs="仿宋"/>
          <w:sz w:val="32"/>
          <w:szCs w:val="32"/>
          <w:lang w:val="en-US" w:eastAsia="zh-CN"/>
        </w:rPr>
        <w:t>　一、继续教育对象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聘用单位为本市注册的施工企业、来京备案施工企业和在京备案的起重机械租赁企业的持证人员可申请延期复核。资格证书有效期至2022年6月30日的，应于2022年4月1日至6月30日申请延期复核；资格证书有效期至2022年12月31日的，应于2022年10月1日至12月31日申请延期复核。符合上述延期复核规定的，且已取得本市住房城乡建设部门颁发的《建筑施工特种作业人员操作资格证书》的建筑架子工（P、S）、建筑起重信号司索工、建筑起重机械司机(T、S、W)、建筑起重机械安装拆卸工(T、S、W)、高处作业吊篮安装拆卸工、建筑电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二、网络继续教育平台：http://www.bjaqy.com</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三、网络继续教育流程见附件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四、收费标准：320元/岗位/人（网上缴费成功后即可开通网上继续教育课程）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五、在完成网络继续教育课程规定学时后，在线打印继续教育证明。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六、缴费成功7个工作日后开具增值税电子发票。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r>
        <w:rPr>
          <w:rFonts w:hint="eastAsia" w:ascii="仿宋" w:hAnsi="仿宋" w:eastAsia="仿宋" w:cs="仿宋"/>
          <w:sz w:val="32"/>
          <w:szCs w:val="32"/>
          <w:lang w:val="en-US" w:eastAsia="zh-CN"/>
        </w:rPr>
        <w:t xml:space="preserve"> </w:t>
      </w:r>
      <w:r>
        <w:rPr>
          <w:rFonts w:hint="default" w:ascii="仿宋" w:hAnsi="仿宋" w:eastAsia="仿宋" w:cs="仿宋"/>
          <w:sz w:val="32"/>
          <w:szCs w:val="32"/>
          <w:lang w:val="en-US" w:eastAsia="zh-CN"/>
        </w:rPr>
        <w:t>学习咨询联系电话：85962370、85976421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缴费咨询联系电话：85963865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技术咨询联系电话：85968926</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920" w:right="-92" w:rightChars="-44" w:hanging="1920" w:hangingChars="6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附件：1</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北京市建筑施工特种作业人员网络继续教育流程</w:t>
      </w:r>
      <w:r>
        <w:rPr>
          <w:rFonts w:hint="eastAsia" w:ascii="仿宋" w:hAnsi="仿宋" w:eastAsia="仿宋" w:cs="仿宋"/>
          <w:sz w:val="32"/>
          <w:szCs w:val="32"/>
          <w:lang w:val="en-US" w:eastAsia="zh-CN"/>
        </w:rPr>
        <w:t>（略）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1916" w:leftChars="760" w:right="-92" w:rightChars="-44" w:hanging="320" w:hangingChars="100"/>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北京市建筑施工特种作业人员网络继续教育证明</w:t>
      </w:r>
      <w:r>
        <w:rPr>
          <w:rFonts w:hint="eastAsia" w:ascii="仿宋" w:hAnsi="仿宋" w:eastAsia="仿宋" w:cs="仿宋"/>
          <w:sz w:val="32"/>
          <w:szCs w:val="32"/>
          <w:lang w:val="en-US" w:eastAsia="zh-CN"/>
        </w:rPr>
        <w:t>（略）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right"/>
        <w:textAlignment w:val="auto"/>
        <w:rPr>
          <w:rFonts w:hint="default" w:ascii="黑体" w:hAnsi="黑体" w:eastAsia="黑体" w:cs="黑体"/>
          <w:sz w:val="32"/>
          <w:szCs w:val="32"/>
          <w:lang w:val="en-US" w:eastAsia="zh-CN"/>
        </w:rPr>
      </w:pPr>
      <w:r>
        <w:rPr>
          <w:rFonts w:hint="default" w:ascii="仿宋" w:hAnsi="仿宋" w:eastAsia="仿宋" w:cs="仿宋"/>
          <w:sz w:val="32"/>
          <w:szCs w:val="32"/>
          <w:lang w:val="en-US" w:eastAsia="zh-CN"/>
        </w:rPr>
        <w:t>北京市建设教育协会                                                                                   2022年3月31日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FZHei-B01">
    <w:altName w:val="宋体"/>
    <w:panose1 w:val="02000000000000000000"/>
    <w:charset w:val="86"/>
    <w:family w:val="swiss"/>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8557C55"/>
    <w:rsid w:val="154F7029"/>
    <w:rsid w:val="1ABC1A50"/>
    <w:rsid w:val="58557C55"/>
    <w:rsid w:val="71A11D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uiPriority w:val="0"/>
    <w:rPr>
      <w:color w:val="0000FF"/>
      <w:u w:val="single"/>
    </w:rPr>
  </w:style>
  <w:style w:type="paragraph" w:customStyle="1" w:styleId="5">
    <w:name w:val="Default"/>
    <w:qFormat/>
    <w:uiPriority w:val="0"/>
    <w:pPr>
      <w:widowControl w:val="0"/>
      <w:autoSpaceDE w:val="0"/>
      <w:autoSpaceDN w:val="0"/>
      <w:adjustRightInd w:val="0"/>
    </w:pPr>
    <w:rPr>
      <w:rFonts w:ascii="FZHei-B01" w:hAnsi="FZHei-B01" w:eastAsia="宋体" w:cs="FZHei-B01"/>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1213</Words>
  <Characters>1388</Characters>
  <Lines>0</Lines>
  <Paragraphs>0</Paragraphs>
  <TotalTime>3</TotalTime>
  <ScaleCrop>false</ScaleCrop>
  <LinksUpToDate>false</LinksUpToDate>
  <CharactersWithSpaces>1395</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2022-03-28T07:01:00Z</dcterms:created>
  <dc:creator>大通州帝国公民（魏巍）</dc:creator>
  <cp:lastModifiedBy>大通州帝国公民（魏巍）</cp:lastModifiedBy>
  <cp:lastPrinted>2022-04-02T03:51:06Z</cp:lastPrinted>
  <dcterms:modified xsi:type="dcterms:W3CDTF">2022-04-02T03:52:40Z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C9AC3CA588FB4B15BF413659750BF446</vt:lpwstr>
  </property>
</Properties>
</file>